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5B4B8A"/>
                <w:sz w:val="44"/>
                <w:szCs w:val="44"/>
                <w:rtl/>
              </w:rPr>
              <w:t xml:space="preserve">فاتورة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البائع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 الضريبي: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 الضريبي: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تاريخ الاستحقاق: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4406"/>
        <w:gridCol w:w="1000"/>
        <w:gridCol w:w="1400"/>
        <w:gridCol w:w="13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الضريبة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11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12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المبلغ الخاضع للضريبة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ضريبة القيمة المضافة 15%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 شاملاً الضريبة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| نماذج</dc:title>
  <dc:creator>نماذج</dc:creator>
  <dc:description>الفاتورة الإلكترونية في السعودية تصدر من حل فوترة إلكترونية لا من ملف. اعرف الفرق، وحمّل نموذجاً يبين خانات الفاتورة وترتيبها للاطلاع.</dc:description>
  <cp:lastModifiedBy>Un-named</cp:lastModifiedBy>
  <cp:revision>1</cp:revision>
  <dcterms:created xsi:type="dcterms:W3CDTF">2026-10-06T07:22:23.168Z</dcterms:created>
  <dcterms:modified xsi:type="dcterms:W3CDTF">2026-10-06T07:22:23.168Z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